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9D314B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</w:t>
      </w:r>
      <w:bookmarkStart w:id="0" w:name="_GoBack"/>
      <w:bookmarkEnd w:id="0"/>
      <w:r w:rsidRPr="00884FF2">
        <w:rPr>
          <w:b/>
          <w:sz w:val="36"/>
          <w:szCs w:val="36"/>
        </w:rPr>
        <w:t xml:space="preserve">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27156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04.09.2019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2050-ра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37736A">
        <w:rPr>
          <w:b w:val="0"/>
          <w:sz w:val="28"/>
          <w:szCs w:val="28"/>
        </w:rPr>
        <w:t>20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37736A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 xml:space="preserve">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20 год и плановый период 2021 2022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от 04.09.2019 № 2050-ра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на 2020 год и плановый период до 2024 года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  <w:r w:rsidRPr="005A6EBC">
        <w:rPr>
          <w:sz w:val="26"/>
          <w:szCs w:val="26"/>
        </w:rPr>
        <w:t>2019 год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Pr="00216681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2020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5A6EBC" w:rsidRPr="00216681" w:rsidRDefault="005A6EBC" w:rsidP="00216681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2018 год, за 1 квартал 2019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End w:id="1"/>
      <w:r w:rsidRPr="00216681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</w:t>
      </w:r>
      <w:r w:rsidRPr="00216681">
        <w:rPr>
          <w:sz w:val="28"/>
          <w:szCs w:val="28"/>
        </w:rPr>
        <w:lastRenderedPageBreak/>
        <w:t>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Прогноз социально-экономического развития города Пыть-Ях на 2020 год и плановый период до 2024 года выполнен в двух вариантах, первый вариант - консервативный, второй вариант - базовый.</w:t>
      </w:r>
    </w:p>
    <w:p w:rsidR="005A6EBC" w:rsidRPr="00216681" w:rsidRDefault="005A6EBC" w:rsidP="00216681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Общая оценка социально-экономической ситуации</w:t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в муниципальном образовании за отчетный период.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56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5A6EBC" w:rsidRPr="005A6EBC" w:rsidRDefault="005A6EBC" w:rsidP="005A6EBC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4"/>
        <w:gridCol w:w="1411"/>
        <w:gridCol w:w="2053"/>
      </w:tblGrid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2018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2019 год </w:t>
            </w:r>
          </w:p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2"/>
                <w:szCs w:val="22"/>
              </w:rPr>
              <w:t>(оценка)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5A6EBC">
              <w:rPr>
                <w:bCs/>
                <w:sz w:val="26"/>
                <w:szCs w:val="26"/>
                <w:lang w:val="en-US"/>
              </w:rPr>
              <w:t>CDE</w:t>
            </w:r>
            <w:r w:rsidRPr="005A6EBC">
              <w:rPr>
                <w:bCs/>
                <w:sz w:val="26"/>
                <w:szCs w:val="26"/>
              </w:rPr>
              <w:t>),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24,39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25,53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229,0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237,22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12,12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40,00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Инвестиции в основной капитал,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5,11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3,16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Оборот розничной торговли,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5,92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платных услуг населению,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1,81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1,90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 xml:space="preserve">Оборот малых и средних предприятий, включая микропредприятия, </w:t>
            </w:r>
            <w:r w:rsidRPr="005A6EBC">
              <w:rPr>
                <w:bCs/>
                <w:sz w:val="26"/>
                <w:szCs w:val="26"/>
              </w:rPr>
              <w:t>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97,18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100,00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66 335,00</w:t>
            </w:r>
          </w:p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70 381,44</w:t>
            </w:r>
          </w:p>
        </w:tc>
      </w:tr>
    </w:tbl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Промышленное производство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2018 году. </w:t>
      </w:r>
      <w:r w:rsidRPr="00216681">
        <w:rPr>
          <w:sz w:val="28"/>
          <w:szCs w:val="28"/>
        </w:rPr>
        <w:lastRenderedPageBreak/>
        <w:t>Оценка ожидаемых объемов отгруженных товаров в 2019 году осуществлена на основании статистических данных.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 xml:space="preserve">За 2018 год предприятиями промышленности отгружено товаров собственного производства на сумму 24,39 млрд. руб., что составляет 66,5% от общегородского выпуска товаров и услуг за год (36,66 млрд. руб.).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В 2019 году планируется производство товаров и услуг промышленного производства на 25,53 млрд. руб. (индекс промышленного производства – 100,77%), к 2024 году прогнозируется 31,06 млрд. руб. (индекс 100,38%) по базовому варианту, в том числе по основным направлениям: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добыча полезных ископаемых – индекс производства 100,19%; к 2024 году –101,66%;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обрабатывающие производства - индекс производства 100,29%; к 2024 году –100,29%;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100,19%; к 2024 году – 100,0%;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100,58%; к 2024 году – 100,0%.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216681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216681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216681">
        <w:rPr>
          <w:bCs/>
          <w:sz w:val="28"/>
          <w:szCs w:val="28"/>
        </w:rPr>
        <w:t xml:space="preserve"> АО «СибурТюменьГаз». </w:t>
      </w:r>
      <w:r w:rsidRPr="00216681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216681">
        <w:rPr>
          <w:sz w:val="28"/>
          <w:szCs w:val="28"/>
        </w:rPr>
        <w:t xml:space="preserve"> в 2018 году переработано 2,7 млрд. куб.м. (101,0% к 2017 году), увеличение выработки сухого газа связано с увеличением поставки попутного нефтяного газа.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</w:t>
      </w:r>
      <w:r w:rsidRPr="00216681">
        <w:rPr>
          <w:sz w:val="28"/>
          <w:szCs w:val="28"/>
        </w:rPr>
        <w:lastRenderedPageBreak/>
        <w:t xml:space="preserve">предоставление прочих услуг, связанных с добычей нефти и газа.  За 2018 год предприятием по основному виду деятельности оказано услуг на сумму 1 249,00 млн. руб. (64,4% к 2017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«Юганск Профит – Центр», ООО «Арсенал» и другие предприятия).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 разделу «О</w:t>
      </w:r>
      <w:r w:rsidRPr="00216681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216681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За 2018 год всего потреблено 143,20 млн. кВт. час. электроэнергии (99,3% к 2017 году). К 2024 году объем потребления электроэнергии не изменится, потребление останется на уровне 2018 года - 143,23 млн. </w:t>
      </w:r>
      <w:proofErr w:type="spellStart"/>
      <w:r w:rsidRPr="00216681">
        <w:rPr>
          <w:sz w:val="28"/>
          <w:szCs w:val="28"/>
        </w:rPr>
        <w:t>кВт.час</w:t>
      </w:r>
      <w:proofErr w:type="spellEnd"/>
      <w:r w:rsidRPr="00216681">
        <w:rPr>
          <w:sz w:val="28"/>
          <w:szCs w:val="28"/>
        </w:rPr>
        <w:t>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5A6EBC" w:rsidRPr="00216681" w:rsidRDefault="005A6EBC" w:rsidP="00216681">
      <w:pPr>
        <w:keepNext/>
        <w:numPr>
          <w:ilvl w:val="0"/>
          <w:numId w:val="1"/>
        </w:numPr>
        <w:spacing w:line="360" w:lineRule="auto"/>
        <w:jc w:val="center"/>
        <w:outlineLvl w:val="0"/>
        <w:rPr>
          <w:kern w:val="28"/>
          <w:sz w:val="28"/>
          <w:szCs w:val="28"/>
        </w:rPr>
      </w:pPr>
      <w:r w:rsidRPr="00216681">
        <w:rPr>
          <w:kern w:val="28"/>
          <w:sz w:val="28"/>
          <w:szCs w:val="28"/>
        </w:rPr>
        <w:t xml:space="preserve">Инвестиции </w:t>
      </w:r>
    </w:p>
    <w:p w:rsidR="005A6EBC" w:rsidRPr="005A6EBC" w:rsidRDefault="005A6EBC" w:rsidP="005A6EBC">
      <w:pPr>
        <w:tabs>
          <w:tab w:val="left" w:pos="709"/>
        </w:tabs>
        <w:rPr>
          <w:sz w:val="20"/>
          <w:szCs w:val="20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lastRenderedPageBreak/>
        <w:t>Капитал инвестиций города Пыть-Яха на протяжении последних лет стабилен и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2018 год составил 5 108,68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предварительным данным, за 2018 год составил 4 644,26 млн. руб. (рост 18,33% в действующих и на 12,38% в сопоставимых ценах относительно 2017 года).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Сохранение роста объема инвестиций обусловлено реализацией                        АО «СибурТюменьГаз» крупного инвестиционного проекта: «Установка глубокой очистки ШФЛУ» (завершение – декабрь 2018г).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Источниками финансирования инвестиций в основной капитал в 2018 году в большей части стали собственные средства (99,7%), доля привлеченных средств составила 0,3%. Бюджетные средства в общем объеме привлеченных средств составили 91,8%.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млн.руб., который предусматривает новое строительство 13 объектов и техническое перевооружение (реконструкцию) 13 объектов. За 2018 год инвестировано всего 73,3 млн. рублей. Также, в 2018 году завершена реализация инвестиционного проекта на реконструкцию объекта «Подстанция М-</w:t>
      </w:r>
      <w:r w:rsidRPr="00216681">
        <w:rPr>
          <w:sz w:val="28"/>
          <w:szCs w:val="28"/>
          <w:lang w:val="en-US"/>
        </w:rPr>
        <w:t>I</w:t>
      </w:r>
      <w:r w:rsidRPr="00216681">
        <w:rPr>
          <w:sz w:val="28"/>
          <w:szCs w:val="28"/>
        </w:rPr>
        <w:t xml:space="preserve">», город Пыть-Ях, 8 микрорайон «Горка». Инвестором выступал АО «ЮТЭК – Региональные сети» при поддержке муниципального образования. Общий объем инвестиций на выполнение реконструкции объекта составил 180,3 млн. руб.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 </w:t>
      </w:r>
      <w:r w:rsidRPr="00216681">
        <w:rPr>
          <w:sz w:val="28"/>
          <w:szCs w:val="28"/>
        </w:rPr>
        <w:tab/>
        <w:t xml:space="preserve">В 2019 году, по оценке, объем инвестиций в основной капитал за счет всех источников финансирования по полному кругу предприятий ожидается в сумме          3 162,36 млн. руб., к 2018 году в сопоставимых ценах составит 58,9%, в 2020 –             3 082,07 млн.руб. (по базовому варианту), к </w:t>
      </w:r>
      <w:smartTag w:uri="urn:schemas-microsoft-com:office:smarttags" w:element="metricconverter">
        <w:smartTagPr>
          <w:attr w:name="ProductID" w:val="2019 г"/>
        </w:smartTagPr>
        <w:r w:rsidRPr="00216681">
          <w:rPr>
            <w:sz w:val="28"/>
            <w:szCs w:val="28"/>
          </w:rPr>
          <w:t>2019 г</w:t>
        </w:r>
      </w:smartTag>
      <w:r w:rsidRPr="00216681">
        <w:rPr>
          <w:sz w:val="28"/>
          <w:szCs w:val="28"/>
        </w:rPr>
        <w:t>. – 92,5%. Снижение инвестиционного капитала обусловлено завершением реализации масштабного инвестиционного проекта АО «СибурТюменьГаз» «Установка глубокой очистки ШФЛУ».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2019-2024гг планируется инвестирование следующих направлений экономической деятельности города: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образование и спорт: заканчивается строительство школы-сада на 550 мест (инвестор ОАО «ДСК «Автобан»),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прогнозируется реконструкция объектов коммунального комплекса «ВОС-3», «ВОС-1 (2 очередь)» в рамках Адресной инвестиционной программы Ханты-Мансийского автономного округа-Югры на 2019 год и на плановый период 2020 и 2021 годов, строительство КНС в мкр. 6 «Пионерный» (инвестор не определен);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транспортная инфраструктура: запланирован капитальный ремонт ул. Романа Кузоваткина, в целях прохождения процедуры государственной экспертизы и получения заключения проектно-сметная документация направлена в АУ ХМАО-Югры «Управлении государственной экспертизы проектной документации и ценообразования в строительстве»;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 (инвестор не определен).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Постоянным блоком инвестирования в городе является жилищное строительство. В 2018 году ввод жилья составил 12,1 тыс. кв. метров, в 2019 году </w:t>
      </w:r>
      <w:r w:rsidRPr="00216681">
        <w:rPr>
          <w:sz w:val="28"/>
          <w:szCs w:val="28"/>
        </w:rPr>
        <w:lastRenderedPageBreak/>
        <w:t>запланирован ввод жилья 40,0 тыс. кв. метров, в 2020-2024гг прогноз жилого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proofErr w:type="gramStart"/>
      <w:r w:rsidRPr="00216681">
        <w:rPr>
          <w:sz w:val="28"/>
          <w:szCs w:val="28"/>
        </w:rPr>
        <w:t>В соответствии с градостроительными планом</w:t>
      </w:r>
      <w:proofErr w:type="gramEnd"/>
      <w:r w:rsidRPr="00216681">
        <w:rPr>
          <w:sz w:val="28"/>
          <w:szCs w:val="28"/>
        </w:rPr>
        <w:t xml:space="preserve"> города Пыть-Яха, в микрорайоне №1 «Центральный» предусмотрена комплексная застройка территории инвестором ОАО «Дорожно-строительной компанией «АВТОБАН». Вблизи школы-сада планируется строительство 5 многоквартирных домов. </w:t>
      </w:r>
    </w:p>
    <w:p w:rsidR="005A6EBC" w:rsidRPr="00216681" w:rsidRDefault="005A6EBC" w:rsidP="00216681">
      <w:pPr>
        <w:tabs>
          <w:tab w:val="num" w:pos="540"/>
        </w:tabs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 xml:space="preserve">В 2021 году </w:t>
      </w:r>
      <w:r w:rsidRPr="00216681">
        <w:rPr>
          <w:bCs/>
          <w:sz w:val="28"/>
          <w:szCs w:val="28"/>
        </w:rPr>
        <w:t xml:space="preserve">инвестиции города по полному кругу предприятий за счет всех источников финансирования составят 2 732,7 млн. руб., в </w:t>
      </w:r>
      <w:smartTag w:uri="urn:schemas-microsoft-com:office:smarttags" w:element="metricconverter">
        <w:smartTagPr>
          <w:attr w:name="ProductID" w:val="2024 г"/>
        </w:smartTagPr>
        <w:r w:rsidRPr="00216681">
          <w:rPr>
            <w:bCs/>
            <w:sz w:val="28"/>
            <w:szCs w:val="28"/>
          </w:rPr>
          <w:t>2024 г</w:t>
        </w:r>
      </w:smartTag>
      <w:r w:rsidRPr="00216681">
        <w:rPr>
          <w:bCs/>
          <w:sz w:val="28"/>
          <w:szCs w:val="28"/>
        </w:rPr>
        <w:t>. – 1 989,4 млн. руб. (базовый вариант).  Как и в предыдущие периоды, основную долю инвестиций будут составлять собственные средства предприятий (организаций).</w:t>
      </w:r>
    </w:p>
    <w:p w:rsidR="005A6EBC" w:rsidRPr="00216681" w:rsidRDefault="005A6EBC" w:rsidP="00216681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5A6EBC" w:rsidRPr="005A6EBC" w:rsidRDefault="005A6EBC" w:rsidP="005A6EB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5A6EBC" w:rsidRPr="00216681" w:rsidRDefault="005A6EBC" w:rsidP="00216681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</w:rPr>
        <w:t>Строительство</w:t>
      </w:r>
    </w:p>
    <w:p w:rsidR="005A6EBC" w:rsidRPr="005A6EBC" w:rsidRDefault="005A6EBC" w:rsidP="005A6EBC">
      <w:pPr>
        <w:snapToGrid w:val="0"/>
        <w:jc w:val="both"/>
        <w:rPr>
          <w:sz w:val="26"/>
          <w:szCs w:val="26"/>
        </w:rPr>
      </w:pPr>
      <w:r w:rsidRPr="005A6EBC">
        <w:rPr>
          <w:sz w:val="26"/>
          <w:szCs w:val="26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216681">
        <w:rPr>
          <w:sz w:val="28"/>
          <w:szCs w:val="28"/>
        </w:rPr>
        <w:tab/>
        <w:t xml:space="preserve">по чистому виду деятельности «Строительство» за 2018 год выполнены на сумму 2,1 млрд. руб.  (100,1% в сопоставимых ценах относительно 2017 года).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2018 году введено в эксплуатацию 12 122,9 кв.м жилья - 21 объект индивидуального жилищного строительства (2017 – </w:t>
      </w:r>
      <w:smartTag w:uri="urn:schemas-microsoft-com:office:smarttags" w:element="metricconverter">
        <w:smartTagPr>
          <w:attr w:name="ProductID" w:val="4 035,7 кв. м"/>
        </w:smartTagPr>
        <w:r w:rsidRPr="00216681">
          <w:rPr>
            <w:sz w:val="28"/>
            <w:szCs w:val="28"/>
          </w:rPr>
          <w:t>4 035,7 кв. м</w:t>
        </w:r>
      </w:smartTag>
      <w:r w:rsidRPr="00216681">
        <w:rPr>
          <w:sz w:val="28"/>
          <w:szCs w:val="28"/>
        </w:rPr>
        <w:t>), 1 объект многоквартирного жилищного строительства (2017 - 22 755,9).  Годовой план общего объема жилищного строительства (11 377,16 кв.м.) выполнен на 106,6%. Обеспеченность жильем по итогам 2018 года составила 17,6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2019 году ожидается ввод 40,0 тыс. кв. метров, в 2020-2024гг прогноз жилищного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Удельный вес жилых домов, построенных населением, в 2018 году составил 33,3%, в 2019 году оценивается на уровне 3,0%. В прогнозном периоде </w:t>
      </w:r>
      <w:r w:rsidRPr="00216681">
        <w:rPr>
          <w:sz w:val="28"/>
          <w:szCs w:val="28"/>
        </w:rPr>
        <w:lastRenderedPageBreak/>
        <w:t>2020-2024 годов доля индивидуального жилья в общем объеме ввода достигнет 7,4%.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 состоянию на 01.01.2019 года общая площадь жилищного фонда составила 694,9 тыс. кв. м., увеличившись на 0,9% (8,76,2 тыс. кв.м.) по сравнению с 2017 годом.  Основную долю жилых помещений – 95,2% составляет благоустроенное и пригодное для проживания жилье (661,3 тыс.кв. метров), 4,8% - ветхий, аварийный и прочий жилищный фонд (33,6 тыс.кв. метров). 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20,7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в том числе новый торговый центр площадью </w:t>
      </w:r>
      <w:smartTag w:uri="urn:schemas-microsoft-com:office:smarttags" w:element="metricconverter">
        <w:smartTagPr>
          <w:attr w:name="ProductID" w:val="1 472,9 кв. м"/>
        </w:smartTagPr>
        <w:r w:rsidRPr="00216681">
          <w:rPr>
            <w:sz w:val="28"/>
            <w:szCs w:val="28"/>
          </w:rPr>
          <w:t>1 472,9 кв. м</w:t>
        </w:r>
      </w:smartTag>
      <w:r w:rsidRPr="00216681">
        <w:rPr>
          <w:sz w:val="28"/>
          <w:szCs w:val="28"/>
        </w:rPr>
        <w:t>.  Введен в эксплуатацию объект агропромышленного комплекса - птичник «Инкубаторий», мощность которого предусматривает выведение более 164 тыс. голов птиц.</w:t>
      </w:r>
    </w:p>
    <w:p w:rsidR="005A6EBC" w:rsidRPr="005A6EBC" w:rsidRDefault="005A6EBC" w:rsidP="005A6EBC">
      <w:pPr>
        <w:ind w:firstLine="720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Потребительский рынок</w:t>
      </w:r>
    </w:p>
    <w:p w:rsidR="005A6EBC" w:rsidRPr="005A6EBC" w:rsidRDefault="005A6EBC" w:rsidP="005A6EBC">
      <w:pPr>
        <w:ind w:firstLine="720"/>
        <w:jc w:val="both"/>
        <w:rPr>
          <w:b/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Розничный товарооборот в 2018 году сложился в пределах 5,92 млрд. рублей при индексе 100,59%, в 2019 году оценивается 6,22 млрд. руб. при индексе 100,1%, к 2024 году оборот торговли составит 7,53 млрд. руб. при индексе 100,1%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01.01.2019 года инфраструктуру потребительского рынка в городе составляют 17 торговых центров, 212 продовольственных, </w:t>
      </w:r>
      <w:r w:rsidRPr="00216681">
        <w:rPr>
          <w:sz w:val="28"/>
          <w:szCs w:val="28"/>
        </w:rPr>
        <w:lastRenderedPageBreak/>
        <w:t>непродовольственных и универсальных магазинов, а также 51 объект нестационарной торговли.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216681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кв.м,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216681">
        <w:rPr>
          <w:rFonts w:eastAsia="Calibri"/>
          <w:sz w:val="28"/>
          <w:szCs w:val="28"/>
        </w:rPr>
        <w:t>Ермолино</w:t>
      </w:r>
      <w:proofErr w:type="spellEnd"/>
      <w:r w:rsidRPr="00216681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216681">
        <w:rPr>
          <w:rFonts w:eastAsia="Calibri"/>
          <w:sz w:val="28"/>
          <w:szCs w:val="28"/>
        </w:rPr>
        <w:t>Галамарт</w:t>
      </w:r>
      <w:proofErr w:type="spellEnd"/>
      <w:r w:rsidRPr="00216681">
        <w:rPr>
          <w:rFonts w:eastAsia="Calibri"/>
          <w:sz w:val="28"/>
          <w:szCs w:val="28"/>
        </w:rPr>
        <w:t xml:space="preserve">», «Магнит </w:t>
      </w:r>
      <w:proofErr w:type="spellStart"/>
      <w:r w:rsidRPr="00216681">
        <w:rPr>
          <w:rFonts w:eastAsia="Calibri"/>
          <w:sz w:val="28"/>
          <w:szCs w:val="28"/>
        </w:rPr>
        <w:t>Косметик</w:t>
      </w:r>
      <w:proofErr w:type="spellEnd"/>
      <w:r w:rsidRPr="00216681">
        <w:rPr>
          <w:rFonts w:eastAsia="Calibri"/>
          <w:sz w:val="28"/>
          <w:szCs w:val="28"/>
        </w:rPr>
        <w:t>», «</w:t>
      </w:r>
      <w:proofErr w:type="spellStart"/>
      <w:r w:rsidRPr="00216681">
        <w:rPr>
          <w:rFonts w:eastAsia="Calibri"/>
          <w:sz w:val="28"/>
          <w:szCs w:val="28"/>
        </w:rPr>
        <w:t>Sela</w:t>
      </w:r>
      <w:proofErr w:type="spellEnd"/>
      <w:r w:rsidRPr="00216681">
        <w:rPr>
          <w:rFonts w:eastAsia="Calibri"/>
          <w:sz w:val="28"/>
          <w:szCs w:val="28"/>
        </w:rPr>
        <w:t>» и другие.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Объем платных услуг, предоставленных населению города, в 2019 году оценивается в 1,89 млрд. руб. (индекс 99,9%), в 2020 году прогнозируется в размере 1,97 млрд. руб. (индекс 99,9% по базовому варианту). Потребление услуг в 2024 году прогнозируется на уровне 2,33 млрд. руб., что составит 123,2% к 2019 году ценах соответствующих лет.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102,9% в 2018 году, 105,0% в 2019 году, 103,7% - 104,0% в 2020 -2024 годах.</w:t>
      </w:r>
    </w:p>
    <w:p w:rsidR="005A6EBC" w:rsidRPr="005A6EBC" w:rsidRDefault="005A6EBC" w:rsidP="005A6EBC">
      <w:pPr>
        <w:ind w:firstLine="709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Уровень жизни населения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</w:t>
      </w:r>
      <w:r w:rsidRPr="00216681">
        <w:rPr>
          <w:sz w:val="28"/>
          <w:szCs w:val="28"/>
        </w:rPr>
        <w:lastRenderedPageBreak/>
        <w:t xml:space="preserve">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Денежные доходы населения в 2018 году составили 17,91 млрд. руб., в 2019 году по оценке составят 18,81 млрд. руб., в 2024 году – 23,15 млрд. руб. по базовому варианту.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 среднедушевые денежные доходы населения составили 37 018,90 рублей в месяц, реальные денежные доходы н</w:t>
      </w:r>
      <w:r w:rsidR="00653D54" w:rsidRPr="00216681">
        <w:rPr>
          <w:sz w:val="28"/>
          <w:szCs w:val="28"/>
        </w:rPr>
        <w:t>аселения составили 97,18% к 2019</w:t>
      </w:r>
      <w:r w:rsidRPr="00216681">
        <w:rPr>
          <w:sz w:val="28"/>
          <w:szCs w:val="28"/>
        </w:rPr>
        <w:t xml:space="preserve">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5A6EBC" w:rsidRPr="00216681" w:rsidRDefault="005A6EBC" w:rsidP="00216681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5A6EBC" w:rsidRPr="00216681" w:rsidRDefault="005A6EBC" w:rsidP="005A6EBC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Труд и занятость</w:t>
      </w:r>
    </w:p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конец 2018 года численность рабочей силы составила 25,60 тыс. человек. На 2019 год численность рабочей силы оценивается в размере 25,69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2024 году до 25,92 тыс. человек по базовому варианту (100,9% к 2019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Численность занятых в экономике в 2018 году составила 21,77 тыс. человек населения, в 2019 году оценивается в 21,8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2018 году составила 15,79 тыс. человек, в 2019 году, по оценке, - 15,80 тыс. человек (рост 0,06%), к 2024 году – 15,85 тыс. человек (по базовому варианту, рост 0,32% к 2019 году.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году, в результате реализации мероприятий муниципальной программы «Содействие занятости населения в муниципальном образовании городской округ город Пыть-Ях на 2018-2025 годы и на период до 2030 года»,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400 временных рабочих мест в муниципальных учреждениях, из них: 382 - для несовершеннолетних граждан в возрасте от  14 до 18 лет, 1 -  для граждан пенсионного возраста, 4 - для проведения общественных работ, 3 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9 выпускников образовательных организаций высшего образования  в возрасте до 25 лет прошли стажировку в муниципальных учреждениях города. Создано 4 дополнительных рабочих места, из них: 3 -  специальных рабочих места для инвалидов, трудоустроено 3 человека; 1 - рабочее место для незанятых многодетных родителей, трудоустроен 1 человек.</w:t>
      </w: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Уровень регистрируемой безработицы в 2018 году составил 0,19% (в 2017 году 0,20%), коэффициент напряженности – 0,45 человек на 1 вакантное рабочее место (в 2017 году – 0,22). Реализация мероприятий государственной программы, а также отсутствие риска масштабного сокращения работников </w:t>
      </w:r>
      <w:r w:rsidRPr="00216681">
        <w:rPr>
          <w:sz w:val="28"/>
          <w:szCs w:val="28"/>
        </w:rPr>
        <w:lastRenderedPageBreak/>
        <w:t xml:space="preserve">предприятий позволит «удержать» уровень зарегистрированной безработицы к 2024 году на уровне 0,15% по базовому варианту. </w:t>
      </w:r>
      <w:r w:rsidRPr="00216681">
        <w:rPr>
          <w:sz w:val="28"/>
          <w:szCs w:val="28"/>
        </w:rPr>
        <w:tab/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5A6EBC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Демография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40,1 тыс. человек (100,1% к 2018 году).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40,45 тыс. человек (по базовому варианту).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2018 году – 8,59 на 1000 человек населения, к 2024 году составит 12,89 на 1000 человек населения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78 лет к 2024 году (74,3 лет в 2018 году).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216681">
        <w:rPr>
          <w:sz w:val="28"/>
          <w:szCs w:val="28"/>
        </w:rPr>
        <w:t>инфраструктурно</w:t>
      </w:r>
      <w:proofErr w:type="spellEnd"/>
      <w:r w:rsidRPr="00216681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</w:t>
      </w:r>
      <w:r w:rsidRPr="00216681">
        <w:rPr>
          <w:sz w:val="28"/>
          <w:szCs w:val="28"/>
        </w:rPr>
        <w:lastRenderedPageBreak/>
        <w:t>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2018 году зафиксирован коэффициент миграционной убыли (-)0,80 тысяч человек, в 2019 году оценивается (-) 0,03 тысяч человек. К 2024 году миграционный прирост (убыль) прогнозируется на (-) 0,34 тысяч человек (по базовому варианту).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2020-2024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Бюджет муниципального образования</w:t>
      </w:r>
    </w:p>
    <w:p w:rsidR="005A6EBC" w:rsidRPr="005A6EBC" w:rsidRDefault="005A6EBC" w:rsidP="005A6EBC">
      <w:pPr>
        <w:ind w:firstLine="720"/>
        <w:jc w:val="center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2 050,67 млн. рублей. С учётом всех внесённых изменений уточнённый объём доходов составил 3 570,6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3 436,9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3 498,0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сельскохозяйственного налога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-</w:t>
      </w:r>
      <w:r w:rsidR="005A6EBC" w:rsidRPr="0021668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>
        <w:rPr>
          <w:bCs/>
          <w:sz w:val="26"/>
          <w:szCs w:val="26"/>
          <w:lang w:eastAsia="en-US"/>
        </w:rPr>
        <w:t>-</w:t>
      </w:r>
      <w:r w:rsidR="005A6EBC" w:rsidRPr="005A6EBC">
        <w:rPr>
          <w:bCs/>
          <w:sz w:val="26"/>
          <w:szCs w:val="26"/>
          <w:lang w:eastAsia="en-US"/>
        </w:rPr>
        <w:t xml:space="preserve">налог, взимаемый в связи с применением упрощенной системы </w:t>
      </w:r>
      <w:r w:rsidR="005A6EBC" w:rsidRPr="00216681">
        <w:rPr>
          <w:bCs/>
          <w:sz w:val="28"/>
          <w:szCs w:val="28"/>
          <w:lang w:eastAsia="en-US"/>
        </w:rPr>
        <w:t>налогообложения – по нормативу 100%;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0,2000%.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216681">
        <w:rPr>
          <w:sz w:val="28"/>
          <w:szCs w:val="28"/>
          <w:lang w:eastAsia="en-US"/>
        </w:rPr>
        <w:t>утвержден решением Думы города от 14.12.2018 № 210 «О бюджете города Пыть-Яха на 2019 год и на плановый период 2020 и 2021 годов» в сумме 861,44 млн. рублей. С учётом всех внесённых изменений уточнённый объём расходов составил 2 365,2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2 255,1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2021 год в сумме 2 313,3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2022-2024 годы в сумме 2 172,7 млн. рублей ежегодно (базовый и консервативный).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 xml:space="preserve">Расходы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3 833,2 млн. рублей.  </w:t>
      </w:r>
      <w:r w:rsidRPr="00216681">
        <w:rPr>
          <w:sz w:val="28"/>
          <w:szCs w:val="28"/>
          <w:lang w:eastAsia="en-US"/>
        </w:rPr>
        <w:lastRenderedPageBreak/>
        <w:t>С учётом всех внесённых изменений уточнённый объём расходов составил 5 383,3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3 495,1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3 553,6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Формирование расходных обязательств бюджета города в проектировках на 2020 год и на плановый период 2021-2024 годов основано на подходах, при которых в качестве «базовых» по текущим расходам на 2020-2024 годы приняты утвержденные бюджетные ассигнования на 2019 год.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216681">
        <w:rPr>
          <w:sz w:val="28"/>
          <w:szCs w:val="28"/>
          <w:lang w:eastAsia="en-US"/>
        </w:rPr>
        <w:t xml:space="preserve"> Кроме этого, на 2019-2021 годы включены расходы в сумме на 2019 год – 41,9 млн. рублей, на 2020 год – 344,3 млн. рублей и на 2021 год – 385,3 млн. рублей в соответствии с п</w:t>
      </w:r>
      <w:r w:rsidRPr="00216681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Реконструкция ВОС-1 (2-я очередь) г. Пыть-Ях на 2019 год – 41,9 млн. рублей, на 2020 год – 103,1 млн.рублей;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216681">
          <w:rPr>
            <w:sz w:val="28"/>
            <w:szCs w:val="28"/>
          </w:rPr>
          <w:t>3 г</w:t>
        </w:r>
      </w:smartTag>
      <w:r w:rsidRPr="00216681">
        <w:rPr>
          <w:sz w:val="28"/>
          <w:szCs w:val="28"/>
        </w:rPr>
        <w:t>. Пыть-Ях на 2020 год – 241,2 млн. рублей, на 2021 год – 385,3 млн. рублей.</w:t>
      </w:r>
    </w:p>
    <w:p w:rsidR="005A6EBC" w:rsidRPr="00216681" w:rsidRDefault="005A6EBC" w:rsidP="00216681">
      <w:pPr>
        <w:spacing w:line="360" w:lineRule="auto"/>
        <w:ind w:firstLine="82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Доля программных расходов в общей сумме расходов составила в 2018 году 99% или 3 924,3 млн. рублей, в 2019 -2024 годах доля программных расходов сохранится.</w:t>
      </w:r>
    </w:p>
    <w:p w:rsidR="005A6EBC" w:rsidRDefault="005A6EBC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216681" w:rsidRPr="00216681" w:rsidRDefault="00216681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Прогноз социально-экономического развития города Пыть-Яха на 2020-2024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216681">
          <w:rPr>
            <w:sz w:val="28"/>
            <w:szCs w:val="28"/>
          </w:rPr>
          <w:t>2018 г</w:t>
        </w:r>
      </w:smartTag>
      <w:r w:rsidRPr="00216681">
        <w:rPr>
          <w:sz w:val="28"/>
          <w:szCs w:val="28"/>
        </w:rPr>
        <w:t>. № 204 «О национальных целях и стратегичес</w:t>
      </w:r>
      <w:r w:rsidR="00216681">
        <w:rPr>
          <w:sz w:val="28"/>
          <w:szCs w:val="28"/>
        </w:rPr>
        <w:t xml:space="preserve">ких задачах развития Российской Федерации </w:t>
      </w:r>
      <w:r w:rsidRPr="00216681">
        <w:rPr>
          <w:sz w:val="28"/>
          <w:szCs w:val="28"/>
        </w:rPr>
        <w:t xml:space="preserve">на период до 2024 года»). </w:t>
      </w:r>
    </w:p>
    <w:p w:rsidR="00216681" w:rsidRDefault="00216681" w:rsidP="00216681">
      <w:pPr>
        <w:spacing w:line="360" w:lineRule="auto"/>
        <w:ind w:firstLine="720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557BF7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602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27156E" w:rsidRDefault="0027156E" w:rsidP="0027156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04.09.2019 № 2050-ра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20</w:t>
      </w:r>
      <w:r w:rsidR="00CA1BDE" w:rsidRPr="00884FF2">
        <w:rPr>
          <w:bCs/>
          <w:sz w:val="28"/>
          <w:szCs w:val="28"/>
        </w:rPr>
        <w:t xml:space="preserve"> год и на плановый период до 2024 года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84FF2" w:rsidRPr="007E6D50" w:rsidTr="003A07A3">
        <w:tc>
          <w:tcPr>
            <w:tcW w:w="709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</w:tcPr>
          <w:p w:rsidR="001A7A70" w:rsidRPr="007E6D50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851" w:type="dxa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8505" w:type="dxa"/>
            <w:gridSpan w:val="10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Прогноз</w:t>
            </w:r>
          </w:p>
        </w:tc>
      </w:tr>
      <w:tr w:rsidR="00AA4294" w:rsidRPr="007E6D50" w:rsidTr="003A07A3">
        <w:tc>
          <w:tcPr>
            <w:tcW w:w="709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DF1B3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2024</w:t>
            </w:r>
          </w:p>
        </w:tc>
      </w:tr>
      <w:tr w:rsidR="007B240C" w:rsidRPr="007E6D50" w:rsidTr="007B240C">
        <w:trPr>
          <w:cantSplit/>
          <w:trHeight w:val="1691"/>
        </w:trPr>
        <w:tc>
          <w:tcPr>
            <w:tcW w:w="709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</w:tr>
      <w:tr w:rsidR="00AA4294" w:rsidRPr="007E6D50" w:rsidTr="003A07A3">
        <w:trPr>
          <w:trHeight w:val="171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FD20EB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4871C8" w:rsidRPr="007E6D50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</w:t>
            </w:r>
            <w:r w:rsidR="00BC3FD9" w:rsidRPr="007E6D50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ind w:right="-283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AA429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0,08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3144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731446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AA4294" w:rsidRPr="007E6D50">
              <w:rPr>
                <w:bCs/>
                <w:sz w:val="20"/>
                <w:szCs w:val="20"/>
              </w:rPr>
              <w:t>45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15B4F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99,27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E33FB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E33FB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100,25</w:t>
            </w:r>
          </w:p>
        </w:tc>
      </w:tr>
      <w:tr w:rsidR="00AA4294" w:rsidRPr="007E6D50" w:rsidTr="004D2AB7">
        <w:trPr>
          <w:trHeight w:val="799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17680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</w:t>
            </w:r>
            <w:r w:rsidR="00717680" w:rsidRPr="007E6D50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77,40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77,50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F80D8C" w:rsidRPr="007E6D50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2. </w:t>
            </w:r>
            <w:r w:rsidR="00F80D8C" w:rsidRPr="007E6D50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AA4294" w:rsidRPr="007E6D50" w:rsidTr="003A07A3">
        <w:trPr>
          <w:cantSplit/>
          <w:trHeight w:val="1043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5F2D4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24 385,80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5F2D49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25 531,93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25 787,25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26 400,02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26 973,47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27 429,62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28 187,27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28 526,80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29 427,51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29 724,93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30 722,32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31 062,55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</w:t>
            </w:r>
            <w:r w:rsidRPr="007E6D50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142,0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C21A67" w:rsidRPr="007E6D50" w:rsidRDefault="005F2D49" w:rsidP="005F2D49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Индексы производства по видам экономической деятельности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Добыча полезных ископаемых (раздел B)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0C530A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108,31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101,76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101,66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Обрабатывающие производства (раздел C)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5025A2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5025A2" w:rsidRPr="007E6D50">
              <w:rPr>
                <w:bCs/>
                <w:sz w:val="20"/>
                <w:szCs w:val="20"/>
              </w:rPr>
              <w:t>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2.5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4196C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Обеспечение электрической энергией, газом и паром;</w:t>
            </w:r>
          </w:p>
          <w:p w:rsidR="00C11624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кондиционирование воздуха (раздел D)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</w:t>
            </w:r>
            <w:r w:rsidR="0034196C" w:rsidRPr="007E6D50">
              <w:rPr>
                <w:bCs/>
                <w:sz w:val="20"/>
                <w:szCs w:val="20"/>
              </w:rPr>
              <w:t>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34196C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34196C" w:rsidRPr="007E6D50">
              <w:rPr>
                <w:bCs/>
                <w:sz w:val="20"/>
                <w:szCs w:val="20"/>
              </w:rPr>
              <w:t>00,0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2.6.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34196C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</w:tr>
      <w:tr w:rsidR="00884FF2" w:rsidRPr="007E6D50" w:rsidTr="007E6D50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6D3440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6D3440" w:rsidRPr="007E6D50">
              <w:rPr>
                <w:bCs/>
                <w:sz w:val="20"/>
                <w:szCs w:val="20"/>
              </w:rPr>
              <w:t>. Сельское хозяйство</w:t>
            </w:r>
          </w:p>
        </w:tc>
      </w:tr>
      <w:tr w:rsidR="00AA4294" w:rsidRPr="007E6D50" w:rsidTr="007E6D50">
        <w:trPr>
          <w:cantSplit/>
          <w:trHeight w:val="83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227,88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237,22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246,34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245,08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255,57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253,68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262,99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273,00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285,19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283,57</w:t>
            </w:r>
          </w:p>
        </w:tc>
      </w:tr>
      <w:tr w:rsidR="00AA4294" w:rsidRPr="007E6D50" w:rsidTr="007E6D5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3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118,90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</w:tr>
      <w:tr w:rsidR="00884FF2" w:rsidRPr="007E6D50" w:rsidTr="007E6D50">
        <w:trPr>
          <w:trHeight w:val="278"/>
        </w:trPr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583A3C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353C1" w:rsidRPr="007E6D50">
              <w:rPr>
                <w:bCs/>
                <w:sz w:val="20"/>
                <w:szCs w:val="20"/>
              </w:rPr>
              <w:t>. Строительство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1 996,00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2099,79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2 219,48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2 343,77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2 341,55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2 470,33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2 468,00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2 603,73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2 593,86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2 741,73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2 728,74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2 884,30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2 873,37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26,88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0E171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E22308" w:rsidRPr="007E6D50">
              <w:rPr>
                <w:bCs/>
                <w:sz w:val="20"/>
                <w:szCs w:val="20"/>
              </w:rPr>
              <w:t>. Торговля и услуги населению</w:t>
            </w:r>
          </w:p>
        </w:tc>
      </w:tr>
      <w:tr w:rsidR="00AA4294" w:rsidRPr="007E6D50" w:rsidTr="004D2AB7">
        <w:trPr>
          <w:cantSplit/>
          <w:trHeight w:val="99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5 915,72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6 223,34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6 459,83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6 447,38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6 711,76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6 698,83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6 973,52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6 960,08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7 259,43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7 238,49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7 549,81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7 528,03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</w:tr>
      <w:tr w:rsidR="00AA4294" w:rsidRPr="007E6D50" w:rsidTr="004D2AB7">
        <w:trPr>
          <w:cantSplit/>
          <w:trHeight w:val="93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5.3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1 811,97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1 895,33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1 984,41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1 974,93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2 071,72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2 061,83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2 160,80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2 152,55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2 251,56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2 242,95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2 343,87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2 334,91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3A07A3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</w:tr>
      <w:tr w:rsidR="005C60A4" w:rsidRPr="007E6D50" w:rsidTr="0042117D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5C60A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 Малое и среднее предпринимательство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Оборот малых и средних предприятий, включая микропредприятия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млрд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</w:tr>
      <w:tr w:rsidR="00884FF2" w:rsidRPr="007E6D50" w:rsidTr="0042117D"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C121C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21C4" w:rsidRPr="007E6D50">
              <w:rPr>
                <w:bCs/>
                <w:sz w:val="20"/>
                <w:szCs w:val="20"/>
              </w:rPr>
              <w:t>. Инвестиции</w:t>
            </w:r>
          </w:p>
        </w:tc>
      </w:tr>
      <w:tr w:rsidR="00AA4294" w:rsidRPr="007E6D50" w:rsidTr="004D2AB7">
        <w:trPr>
          <w:cantSplit/>
          <w:trHeight w:val="937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4 317,60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5 108,68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3 162,36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3 047,40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3 082,07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2 698,67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2 732,70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1 537,80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1 593,20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934,17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1 953,49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1 989,43</w:t>
            </w:r>
          </w:p>
        </w:tc>
      </w:tr>
      <w:tr w:rsidR="00AA4294" w:rsidRPr="007E6D50" w:rsidTr="00075678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92,48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93,71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84,99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85,17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54,74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56,01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201,07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197,14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2 847,88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2 770,36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2 801,88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2 453,33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2 484,27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1 398,00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1 448,36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849,25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880,45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1 775,90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1 808,57</w:t>
            </w:r>
          </w:p>
        </w:tc>
      </w:tr>
      <w:tr w:rsidR="00075678" w:rsidRPr="007E6D50" w:rsidTr="008E6AE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7.4.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Привлеченные средства,</w:t>
            </w:r>
          </w:p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187,51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15,80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112,85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</w:tr>
      <w:tr w:rsidR="00075678" w:rsidRPr="007E6D50" w:rsidTr="004D2AB7">
        <w:trPr>
          <w:cantSplit/>
          <w:trHeight w:val="1200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7.5.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120,21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39,76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2D12F8" w:rsidRPr="007E6D50" w:rsidRDefault="008E6AE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</w:t>
            </w:r>
            <w:r w:rsidR="002D12F8" w:rsidRPr="007E6D50">
              <w:rPr>
                <w:bCs/>
                <w:sz w:val="20"/>
                <w:szCs w:val="20"/>
              </w:rPr>
              <w:t xml:space="preserve">. Денежные </w:t>
            </w:r>
            <w:r w:rsidR="00D10C0F" w:rsidRPr="007E6D50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D139E6" w:rsidRPr="007E6D50" w:rsidTr="003A07A3"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Реальные располагаемые денежные доходы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</w:t>
            </w:r>
            <w:r w:rsidRPr="007E6D50">
              <w:rPr>
                <w:bCs/>
                <w:sz w:val="20"/>
                <w:szCs w:val="20"/>
              </w:rPr>
              <w:lastRenderedPageBreak/>
              <w:t>щему году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lastRenderedPageBreak/>
              <w:t>94,70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97,18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100,11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100,05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</w:tr>
      <w:tr w:rsidR="00D139E6" w:rsidRPr="007E6D50" w:rsidTr="00D139E6">
        <w:trPr>
          <w:cantSplit/>
          <w:trHeight w:val="987"/>
        </w:trPr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3,30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3,22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3,14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E602CB" w:rsidRPr="007E6D50" w:rsidRDefault="00710496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  <w:r w:rsidR="00E602CB" w:rsidRPr="007E6D50">
              <w:rPr>
                <w:bCs/>
                <w:sz w:val="20"/>
                <w:szCs w:val="20"/>
              </w:rPr>
              <w:t>.</w:t>
            </w:r>
            <w:r w:rsidRPr="007E6D50">
              <w:rPr>
                <w:bCs/>
                <w:sz w:val="20"/>
                <w:szCs w:val="20"/>
              </w:rPr>
              <w:t xml:space="preserve"> </w:t>
            </w:r>
            <w:r w:rsidR="00E602CB" w:rsidRPr="007E6D50">
              <w:rPr>
                <w:bCs/>
                <w:sz w:val="20"/>
                <w:szCs w:val="20"/>
              </w:rPr>
              <w:t>Труд и занятость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21,65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21,77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21,86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21,93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21,92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22,04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22,01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22,09</w:t>
            </w:r>
          </w:p>
        </w:tc>
      </w:tr>
      <w:tr w:rsidR="004D2AB7" w:rsidRPr="007E6D50" w:rsidTr="004D2AB7">
        <w:trPr>
          <w:cantSplit/>
          <w:trHeight w:val="1088"/>
        </w:trPr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рублей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59 985,90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66 335,00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70 381,44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74 322,80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74 463,56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79 005,13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79 527,08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84 140,47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84 934,92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89 693,74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90 625,56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95 613,52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96 788,10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0,20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</w:tr>
      <w:tr w:rsidR="004D2AB7" w:rsidRPr="004D2AB7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0,051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4D2AB7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0E" w:rsidRDefault="00B4300E">
      <w:r>
        <w:separator/>
      </w:r>
    </w:p>
  </w:endnote>
  <w:endnote w:type="continuationSeparator" w:id="0">
    <w:p w:rsidR="00B4300E" w:rsidRDefault="00B4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0E" w:rsidRDefault="00B4300E">
      <w:r>
        <w:separator/>
      </w:r>
    </w:p>
  </w:footnote>
  <w:footnote w:type="continuationSeparator" w:id="0">
    <w:p w:rsidR="00B4300E" w:rsidRDefault="00B4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00E" w:rsidRDefault="00B4300E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4300E" w:rsidRDefault="00B430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80082"/>
      <w:docPartObj>
        <w:docPartGallery w:val="Page Numbers (Top of Page)"/>
        <w:docPartUnique/>
      </w:docPartObj>
    </w:sdtPr>
    <w:sdtEndPr/>
    <w:sdtContent>
      <w:p w:rsidR="00B4300E" w:rsidRDefault="00B430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BF7">
          <w:rPr>
            <w:noProof/>
          </w:rPr>
          <w:t>623</w:t>
        </w:r>
        <w:r>
          <w:fldChar w:fldCharType="end"/>
        </w:r>
      </w:p>
    </w:sdtContent>
  </w:sdt>
  <w:p w:rsidR="00B4300E" w:rsidRDefault="00B430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595651"/>
      <w:docPartObj>
        <w:docPartGallery w:val="Page Numbers (Top of Page)"/>
        <w:docPartUnique/>
      </w:docPartObj>
    </w:sdtPr>
    <w:sdtEndPr/>
    <w:sdtContent>
      <w:p w:rsidR="000E4948" w:rsidRDefault="000E494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BF7">
          <w:rPr>
            <w:noProof/>
          </w:rPr>
          <w:t>621</w:t>
        </w:r>
        <w:r>
          <w:fldChar w:fldCharType="end"/>
        </w:r>
      </w:p>
    </w:sdtContent>
  </w:sdt>
  <w:p w:rsidR="000E4948" w:rsidRDefault="000E49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E02E2"/>
    <w:rsid w:val="000E1714"/>
    <w:rsid w:val="000E1778"/>
    <w:rsid w:val="000E4948"/>
    <w:rsid w:val="000F3254"/>
    <w:rsid w:val="000F4BB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56F1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57BF7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1D4E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7096"/>
    <w:rsid w:val="006E6304"/>
    <w:rsid w:val="006F1017"/>
    <w:rsid w:val="006F4912"/>
    <w:rsid w:val="00701A0C"/>
    <w:rsid w:val="00707632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14B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710"/>
    <w:rsid w:val="00AB7286"/>
    <w:rsid w:val="00AB75F4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4300E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139E6"/>
    <w:rsid w:val="00D218C3"/>
    <w:rsid w:val="00D2467A"/>
    <w:rsid w:val="00D265F9"/>
    <w:rsid w:val="00D26B34"/>
    <w:rsid w:val="00D31F0F"/>
    <w:rsid w:val="00D3398C"/>
    <w:rsid w:val="00D33CC5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82433"/>
    <w:rsid w:val="00E92F43"/>
    <w:rsid w:val="00E947FF"/>
    <w:rsid w:val="00EB0D44"/>
    <w:rsid w:val="00EB3B09"/>
    <w:rsid w:val="00EC3D3E"/>
    <w:rsid w:val="00EC6D95"/>
    <w:rsid w:val="00EC6E78"/>
    <w:rsid w:val="00ED08C9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6031C"/>
    <w:rsid w:val="00F629D2"/>
    <w:rsid w:val="00F6626D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4AD2C-1929-4EDF-BB70-C7A3B6F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D33C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24</Pages>
  <Words>4752</Words>
  <Characters>31915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36594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Екатерина Вагина</cp:lastModifiedBy>
  <cp:revision>7</cp:revision>
  <cp:lastPrinted>2020-04-07T07:56:00Z</cp:lastPrinted>
  <dcterms:created xsi:type="dcterms:W3CDTF">2019-09-05T05:50:00Z</dcterms:created>
  <dcterms:modified xsi:type="dcterms:W3CDTF">2020-08-03T11:28:00Z</dcterms:modified>
</cp:coreProperties>
</file>